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393</w:t>
      </w:r>
    </w:p>
    <w:p>
      <w:r>
        <w:t>Bundesgericht (BGE), 2013-03-22, DE</w:t>
      </w:r>
    </w:p>
    <w:p>
      <w:r>
        <w:rPr>
          <w:b/>
        </w:rPr>
        <w:t xml:space="preserve">Quelle: </w:t>
      </w:r>
      <w:r>
        <w:t>https://mcp.opencaselaw.ch/entscheid/bge_139 II 393</w:t>
      </w:r>
    </w:p>
    <w:p>
      <w:r>
        <w:t>FR: ATF 139 II 393</w:t>
      </w:r>
    </w:p>
    <w:p>
      <w:r>
        <w:t>IT: DTF 139 II 393</w:t>
      </w:r>
    </w:p>
    <w:p>
      <w:pPr>
        <w:pStyle w:val="Heading2"/>
      </w:pPr>
      <w:r>
        <w:t>Regeste</w:t>
      </w:r>
    </w:p>
    <w:p>
      <w:r>
        <w:t>Regeste Art. 31 ff. VRK; Art. 2, 7 lit. d, Art. 16 Abs. 1 und 2, Art. 17 und 18 FZA; Art. 3 Abs. 6 und Art. 4 Anhang I FZA; Art. 8 EMRK; Art. 50 AuG; Aufenthaltsrechte von Kindern aus EU-/EFTA-Staaten zu Ausbildungszwecken ("Ibrahim/Teixeira"-Praxis des EuGH). Bestätigung der Rechtsprechung, dass die Familiennachzugsregeln des Freizügigkeitsabkommens nicht dazu dienen, die Anwesenheit von Drittstaatsangehörigen zu schützen, die sich auf eine inhaltsleere, nur noch formell fortbestehende Ehe berufen (E. 2). Das Bundesgericht weicht mit Blick auf die von den Vertragspartnern durch das FZA angestrebte parallele Rechtslage nur aus triftigen Gründen von der Auslegung abkommensrelevanter unionsrechtlicher Bestimmungen durch den EuGH ab (E. 4.1). Ein Aufenthalt gestützt auf Art. 3 Abs. 6 Anhang I FZA setzt voraus, dass die Rückkehr des Kindes in die Heimat nicht zumutbar erscheint und eine vor dem Dahinfallen der das abgeleitete Anwesenheitsrecht begründenden Familiengemeinschaft begonnene Ausbildung (noch) abgeschlossen werden soll (E. 4.2). Keine Verletzung von Art. 8 EMRK oder Art. 50 AuG im konkreten Fall (E. 5 und 6).</w:t>
      </w:r>
    </w:p>
    <w:p>
      <w:pPr>
        <w:pStyle w:val="Heading2"/>
      </w:pPr>
      <w:r>
        <w:t>Erwägungen</w:t>
      </w:r>
    </w:p>
    <w:p>
      <w:r>
        <w:rPr>
          <w:b/>
        </w:rPr>
        <w:t>E. 2.1</w:t>
      </w:r>
    </w:p>
    <w:p>
      <w:r>
        <w:t>Die Beschwerdeführerin 1 hat als Ehegattin eines EU-Bürgers gestützt auf das Freizügigkeitsrecht grundsätzlich einen (abgeleiteten) Anspruch auf die Verlängerung ihrer Bewilligung, solange die Ehe formell fortdauert (Art. 7 lit. d des Abkommens vom 21. Juni 1999 zwischen der Schweizerischen Eidgenossenschaft einerseits und der Europäischen Gemeinschaft und ihren Mitgliedstaaten andererseits über die Freizügigkeit [FZA; SR 0.142.112.681] i.V.m. Art. 3 Anhang I; Urteil des EuGH vom 13. Februar 1985 C-267/83 Diatta , Slg. 1985 S. 567; BGE 130 II 113 E. 8 S. 127 ff.). Dieses Recht steht unter dem Vorbehalt des Rechtsmissbrauchs ( BGE 130 II 113 E. 9 S. 129 ff.); fehlt der Wille zur Gemeinschaft und dient das formelle Eheband ausschliesslich (noch) dazu, die ausländerrechtlichen Zulassungsvorschriften zu umgehen, fällt der Anspruch dahin (Urteil 2A.557/2002 vom 3. Juni 2004 E. 5; vgl. auch Art. 35 der Richtlinie 2004/38/EG [Unionsbürgerrichtlinie], ABl. L 229 vom 29. Juni 2004 S. 35 ff.). 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(VEP; SR 142.203) i.V.m. Art. 62 lit. d AuG (SR 142.20; Nichteinhalten einer mit der Verfügung verbundenen Bedingung) widerrufen oder nicht (mehr) verlängert werden, da das Freizügigkeitsabkommen diesbezüglich keine eigenen abweichenden Bestimmungen enthält (vgl. Art. 2 Abs. 2 AuG; vgl. die Urteile 2A.569/2004 vom 7. Oktober 2004 E. 2.2; 2C_886/2011 vom 28. Februar 2012 E. 3 und 4 sowie 2C_13/2012 vom 8. Januar 2013 E. 2.1).</w:t>
      </w:r>
    </w:p>
    <w:p>
      <w:r>
        <w:rPr>
          <w:b/>
        </w:rPr>
        <w:t>E. 2.2</w:t>
      </w:r>
    </w:p>
    <w:p>
      <w:r>
        <w:t>Die Beschwerdeführerin 1 und ihr portugiesischer Ehemann haben sich nach zwei Jahren und neun Monaten Ehe im Dezember BGE 139 II 393 S. 396 2008 definitiv getrennt. Auch wenn der Gatte sein Hab und Gut erst im März 2009 aus der gemeinsamen Wohnung abgeholt haben sollte, war die Ehe bereits vorher ihres Inhalts entleert. Die Beschwerdeführerin 1 hat wiederholt erklärt, dass sie und die gemeinsame Tochter ihren Gatten bzw. Vater ab Dezember 2008 nicht mehr gesehen hätten. Auch dieser hat bestätigt, dass die Trennung im Dezember 2008 erfolgt und eine Wiederaufnahme der Beziehung nicht infrage gekommen sei. Unter diesen Umständen durfte das Migrationsamt am 30. April 2010 davon ausgehen, dass sich die Beschwerdeführerin 1 auf eine inhaltsleere, nur noch formell bestehende Ehe berief, um ihr Anwesenheitsrecht zu sichern. Hierzu dient die freizügigkeitsrechtliche Nachzugsregelung für Drittstaatsangehörige nicht. Nur wenn die Voraussetzungen eines Verbleiberechts (vgl. Art. 4 des Anhangs I FZA und die Verordnung [EWG] Nr. 1251/70 vom 29. Juni 1970 [ABl. L 142 vom 30. Juni 1970 S. 24 ff.] sowie die Richtlinie 75/34/EWG vom 17. Dezember 1974 [ABl. L 014 vom 20. Januar 1975 S. 10 ff.]) oder eines eigenständigen Anwesenheitsrechts erfüllt sind, gilt freizügigkeitsrechtlich ein entsprechender Anspruch fort (vgl. das Urteil 2C_13/2012 vom 8. Januar 2013 E. 2.2).</w:t>
      </w:r>
    </w:p>
    <w:p>
      <w:r>
        <w:rPr>
          <w:b/>
        </w:rPr>
        <w:t>E. 3.1</w:t>
      </w:r>
    </w:p>
    <w:p>
      <w:r>
        <w:t>Die Beschwerdeführer berufen sich in diesem Zusammenhang auf Art. 3 Abs. 6 Anhang I FZA . Danach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w:t>
      </w:r>
    </w:p>
    <w:p>
      <w:r>
        <w:rPr>
          <w:b/>
        </w:rPr>
        <w:t>E. 3.2</w:t>
      </w:r>
    </w:p>
    <w:p>
      <w:r>
        <w:t>Im Urteil Baumbast gegen das Vereinigte Königreich (C-413/99) vom 17. September 2002 (Slg. 2002 I-7091) hat der EuGH in Auslegung dieser Bestimmung entschieden, dass die Kinder eines EU-Bürgers, die in einem Mitgliedstaat seit einem Zeitpunkt wohnen, zu dem jener ein Aufenthaltsrecht als Wanderarbeitnehmer hatte, sich dort weiter aufhalten dürfen, um am allgemeinen Unterricht teilnehmen zu können; dabei sei nicht von Belang, ob die Eltern der Kinder BGE 139 II 393 S. 397 inzwischen geschieden wurden, nur einer von ihnen Bürger der Europäischen Union sei oder der Wanderarbeitnehmer seinerseits das Land verlassen habe bzw. die Kinder selber nicht über die EU-Bürgerschaft verfügten (Randnr. 63). Könnten die Kinder ein entsprechendes Aufenthaltsrecht geltend machen, erlaube Art. 12 der Verordnung (EWG) Nr. 1612/68 auch dem die Sorge ausübenden Elternteil - losgelöst von dessen Staatsangehörigkeit - sich bei diesen aufzuhalten, um ihnen zu ermöglichen, ihr Recht auf Bildung wahrzunehmen (Randnr. 75).</w:t>
      </w:r>
    </w:p>
    <w:p>
      <w:r>
        <w:rPr>
          <w:b/>
        </w:rPr>
        <w:t>E. 3.3</w:t>
      </w:r>
    </w:p>
    <w:p>
      <w:r>
        <w:t>In zwei Urteilen vom 23. Februar 2010 hat der EuGH diese Rechtsprechung bestätigt und präzisiert, dass dem Elternteil, der die elterliche Sorge für die Kinder tatsächlich wahrnimmt, ein Anspruch auf Aufenthalt in Anwendung von Art. 12 der Verordnung (EWG) Nr. 1612/68 zukommt, ohne dass dieser von ausreichenden Existenzmitteln abhängig gemacht werden dürfte und der Bezug von Sozialhilfeleistungen ausgeschlossen wäre (Urteile vom 23. Februar 2010 C-310/08 Ibrahim und C-480/08 Teixeira gegen Vereinigtes Königreich , Randnr. 25 ff. bzw. 34 ff.; FERDINAND WOLLENSCHLÄGER, Aktuelle Fragen der EU-Personenfreizügigkeit, in: Jahrbuch für Migrationsrecht 2009/2010, Achermann und andere [Hrsg.], S. 3 ff., dort23 ff.). Das abgeleitete Anwesenheitsrecht des die Sorge tatsächlich wahrnehmenden Elternteils ende mit dem Eintritt der Volljährigkeit des Kindes, sofern dieses nicht weiterhin der Anwesenheit und Fürsorge des betreuenden Elternteils bedürfe, um seine Ausbildung fortsetzen bzw. abschliessen zu können (Urteil Teixeira , Randnr. 76 ff.; vgl. auch das Urteil 2A.475/2004 vom 25. Mai 2005 E. 4).</w:t>
      </w:r>
    </w:p>
    <w:p>
      <w:r>
        <w:rPr>
          <w:b/>
        </w:rPr>
        <w:t>E. 4.1.1</w:t>
      </w:r>
    </w:p>
    <w:p>
      <w:r>
        <w:t>Das Freizügigkeitsabkommen ist gestützt auf die völkerrechtliche Methodik nach Treu und Glauben in Übereinstimmung mit der gewöhnlichen, seinen Bestimmungen in ihrem Zusammenhang zukommenden Bedeutung und im Lichte seines Zieles und Zweckes auszulegen (vgl. Art. 31 ff. des Wiener Übereinkommens vom 23. Mai 1969 über das Recht der Verträge [VRK; SR 0.111]; vgl. ASTRID EPINEY, Freizügigkeitsabkommen Schweiz-EU: Erfahrungen, Herausforderungen und Perspektiven, in: Jahrbuch für Migrationsrecht 2011/2012, Achermann und andere [Hrsg.], S. 81 ff., dort 83 ff. mit weiteren Hinweisen). Gemäss Art. 16 Abs. 2 FZA ist für die Anwendung des Freizügigkeitsabkommens die einschlägige Rechtsprechung des EuGH vor dem Zeitpunkt der Unterzeichnung (21. Juni 1999) BGE 139 II 393 S. 398 massgebend. Da es Ziel des Abkommens ist, die Freizügigkeit auf der Grundlage der in der Europäischen Gemeinschaft geltenden Bestimmungen zu verwirklichen (Präambel) und die Vertragsstaaten übereingekommen sind, in den vom Abkommen erfassten Bereichen alle erforderlichen Massnahmen zu treffen, damit in ihren Beziehungen eine möglichst parallele Rechtslage besteht ( Art. 16 Abs. 1 FZA ), weicht das Bundesgericht praxisgemäss von der Auslegung abkommensrelevanter unionsrechtlicher Bestimmungen durch den EuGH nicht leichthin, sondern nur beim Vorliegen "triftiger" Gründe ab ( BGE 136 II 65 E. 3.1 S. 70 f., BGE 136 II 5 E. 3.4 S. 12 f. mit Hinweisen auf die Doktrin). Bezüglich "neuer" Entwicklungen besteht gestützt auf Art. 16 Abs. 2 FZA keine Befolgungspflicht , sondern höchstens ein Beachtungsgebot in dem Sinn, dass diese nicht ohne sachliche Gründe unbeachtet bleiben sollen, aber aus der Sicht der Vertragspartner auch nicht zu einer nachträglichen Änderung des Vertragsinhalts führen dürfen. Für eine solche sind die Verfahren nach Art. 17 (Entwicklung des Rechts) und Art. 18 (Revision) FZA vorgesehen. Der Schweizer Richter muss die Tragweite der neuen Rechtsprechung des EuGH jeweils auf dem Stand des 1999 übernommenen "Acquis communautaire" würdigen und auslegungsweise klären, ob deren Gehalt (noch) dem Regelungsgegenstand des an sich statisch ausgestalteten FZA entspricht oder ausschliesslich Teil der dynamischen Weiterbildung des Unionsrechts seit dem 21. Juni 1999 bildet und jenen damit sprengt.</w:t>
      </w:r>
    </w:p>
    <w:p>
      <w:r>
        <w:rPr>
          <w:b/>
        </w:rPr>
        <w:t>E. 4.1.2</w:t>
      </w:r>
    </w:p>
    <w:p>
      <w:r>
        <w:t>Nicht anwendbar sind in der Regel nach dem Stichdatum ergangene Entscheide, soweit die Ausführungen des Gerichtshofs sich auf die Bestimmungen über die Unionsbürgerschaft und deren Kernbereich beziehen ("Kernbereichsdoktrin"; vgl. Art. 20 ff. AEUV [ABl. C 326 vom 26. Oktober 2012 S. 3 ff.]; vgl. die Urteile vom 8. März 2011 C-34/09 Zambrano oder vom 15. November 2011 C-256/11 Dereci ; HAILBRONNER/THYM, Ruiz Zambrano - Die Entdeckung des Kernbereichs der Unionsbürgerschaft, Neue Juristische Wochenschrift [NJW] 2011 S. 2008 ff.; VÉRONIQUE BOILLET, La détermination du champ d'application de l'Accord sur la libre circulation des personnes au regard de la jurisprudence de la Cour européenne de justice: les implications des arrêts Zambrano et McCarthy, AJP 2012 S. 49 ff., 53 ff.; NATHALIE CHRISTEN, Le développement du regroupement familial inversé par la jurisprudence suisse et européenne, in: Migrations et regroupement familial, Amarelle/Christen/Nguyen [Hrsg.], 2012, S. 71 ff., dort 90; FLORENCE AUBRY GIRARDIN, L'interprétation et BGE 139 II 393 S. 399 l'application de l'Accord sur la libre circulation des personnes du point de vue de la jurisprudence, in: Das Personenfreizügigkeitsabkommen Schweiz-EU: Auslegung und Anwendung in der Praxis, Epiney/Metz/Mosters [Hrsg.], 2011, S. 29 ff., dort 41 ff.); dasselbe gilt für mit der Richtlinie 2004/38/EG neu eingeführte Rechte für die Unionsbürger wie etwa den bedingungslosen Anspruch auf Daueranwesenheit nach ununterbrochenem fünfjährigem (rechtmässigem) Aufenthalt (Art. 16 der Richtlinie 2004/38/EG) oder das voraussetzungslose Aufenthaltsrecht von bis zu drei Monaten (vgl. Art. 6 der Richtlinie 2004/38/EG; vgl. BGE 136 II 65 E. 4.2 S. 74 mit Hinweisen; Urteil 2C_487/2012 vom 2. April 2013 E. 4.4).</w:t>
      </w:r>
    </w:p>
    <w:p>
      <w:r>
        <w:rPr>
          <w:b/>
        </w:rPr>
        <w:t>E. 4.2.1</w:t>
      </w:r>
    </w:p>
    <w:p>
      <w:r>
        <w:t>In der Doktrin wird mehrheitlich die Auffassung vertreten, dass - obwohl nach dem 21. Juni 1999 ergangen - sowohl das Urteil Baumbast wie die entsprechenden, die Praxis präzisierenden Entscheide Ibrahim und Teixeira im Rahmen des FZA zu übernehmen seien (vgl. MARC SPESCHA, in: Migrationsrecht, Spescha/Thür/Zünd/Bolzli [Hrsg.], 3. Aufl. 2012, N. 20 zu Art. 3 und N. 7 zu Art. 4 FZA ; ASTRID EPINEY, Zur schweizerischen Rechtsprechung zum Personenfreizügigkeitsabkommen, in: Jahrbuch für Migrationsrecht 2011/2012, Achermann und andere [Hrsg.], S. 223 ff., dort 246 mit weiteren Hinweisen; SARAH PROGIN-THEURKAUF, Aufenthaltsrecht für Eltern von Kindern in Ausbildung, Asyl 4/10 S. 25 f.; CHRISTINA SCHNELL, Arbeitnehmerfreizügigkeit in der Schweiz, 2010, S. 173 f.). Wie es sich damit verhält, braucht hier nicht abschliessend entschieden zu werden. Aufgrund der spezifischen Umstände besteht im vorliegenden Fall - so oder anders - kein entsprechender Anspruch.</w:t>
      </w:r>
    </w:p>
    <w:p>
      <w:r>
        <w:rPr>
          <w:b/>
        </w:rPr>
        <w:t>E. 4.2.2</w:t>
      </w:r>
    </w:p>
    <w:p>
      <w:r>
        <w:t>Sinn und Zweck des in Art. 3 Abs. 6 des Anhangs I zum FZA übernommenen selbständigen Anwesenheitsrechts für Kinder von Bürgern aus EU- oder EFTA-Staaten bzw. deren Partnern ist es, über die Teilnahme am allgemeinen Unterricht die Integration in der Aufnahmegesellschaft zu fördern (vgl. das EuGH-Urteil Baumbast , Randnr. 60), was voraussetzt, dass die Kinder tatsächlich über diesen (bzw. anschliessend während der Lehrlings- und Berufsausbildung) bei (noch) intakter Familiengemeinschaft bereits in nennenswerter Weise begonnen haben, sich zu integrieren bzw. massgebliche Beziehungen ausserhalb der Kernfamilie auszubilden. Das ist bei Kleinkindern, die noch in erster Linie auf den familiären Bereich bezogen leben, nicht der Fall, auch wenn sie - wie die Beschwerdeführerin 3 - in eine Tageskrippe oder allenfalls in den Kindergarten gehen. BGE 139 II 393 S. 400</w:t>
      </w:r>
    </w:p>
    <w:p>
      <w:r>
        <w:rPr>
          <w:b/>
        </w:rPr>
        <w:t>E. 4.2.3</w:t>
      </w:r>
    </w:p>
    <w:p>
      <w:r>
        <w:t>Der entsprechende Unterricht (Kindergarten) kann ohne Beeinträchtigung der freizügigkeitsrechtlichen Ansprüche (vgl. EuGH- Urteil Baumbast , Randnr. 62) im Drittstaat erfolgen, wenn das Sorgerecht über das Kind - wie hier - dem Drittstaatsangehörigen zugesprochen worden ist (Urteile 2A.130/2005 vom 12. April 2005 E. 1.2.1; 2A.475/2004 vom 25. Mai 2005 E. 4.7; LAURENT MERZ, Le droit de séjour selon l'ALCP et la jurisprudence du Tribunal fédéral, RDAF 2009 I S. 293). Mit der Abmeldung ins Ausland bzw. dem Ablauf von sechs Monaten nach der Ausreise mit dem sorgeberechtigten Elternteil fällt die gestützt auf den Familiennachzug im Rahmen des FZA an das Kind erteilte Niederlassungsbewilligung dahin (vgl. die Urteile 2C_656/2011 vom 8. Mai 2012 E. 3 und 2C_830/2010 vom 10. Juni 2011 E. 4). Das unmündige Kind teilt aus familienrechtlichen Gründen ( Art. 25 Abs. 1 und Art. 301 Abs. 3 ZGB ; Urteil 2C_31/2007 vom 27. Juli 2007 E. 2.5) das ausländerrechtliche Schicksal des sorgeberechtigten Elternteils und hat gegebenenfalls mit diesem das Land zu verlassen, wenn jener seinerseits sein vom freizügigkeitsberechtigten Arbeitnehmer abgeleitetes (derivatives) Anwesenheitsrecht verloren (vgl. das Urteil 2C_930/2012 vom 10. Januar 2013 E. 4.4.4) und kein eigenständiges Aufenthalts- oder Verbleiberecht erworben hat. Dies ist bei der Beschwerdeführerin 3 trotz ihrer EU-Bürgerschaft nicht der Fall, da sie über keine ausreichenden finanziellen Mittel verfügt, welche es ihr erlauben würden, sich als Freizügigkeitsberechtigte ohne Erwerbstätigkeit in der Schweiz aufzuhalten (vgl. Art. 24 FZA ); sie kann auch keine Verbleiberechtssituation geltend machen (vgl. Art. 4 Anhang I FZA i.V.m. Art. 3 und 2 der Verordnung [EWG] Nr. 1251/70 [ABl. L 142vom 30. Juni 1970 S. 24 ff.]).</w:t>
      </w:r>
    </w:p>
    <w:p>
      <w:r>
        <w:rPr>
          <w:b/>
        </w:rPr>
        <w:t>E. 4.2.4</w:t>
      </w:r>
    </w:p>
    <w:p>
      <w:r>
        <w:t>Der Beschwerdeführer 2 verfügt seinerseits nicht über die Staatsbürgerschaft eines EU-/EFTA-Staats. Er ist zwar im Familiennachzug des portugiesischen Freizügigkeitsberechtigten gestützt auf Art. 3 Abs. 2 lit. a FZA in die Schweiz eingereist. Mit seinem hier lebenden und arbeitenden (Stief-)Vater hat er aber kaum zusammengelebt. Im Zeitpunkt, als er seine Ausbildung als Elektriker begann, war die eheliche Gemeinschaft längst aufgelöst und bestand zwischen seiner Mutter und dem Stiefvater nur noch das formelle Eheband fort, dessen Anrufung ohne jegliche Aussicht auf eine Wiederannäherung als rechtsmissbräuchlich zu gelten hatte. Er könnte sich für den weiteren Aufenthalt, um seine Ausbildung abzuschliessen, allenfalls dann auf Art. 3 Abs. 6 des Anhangs I FZA in der BGE 139 II 393 S. 401 Auslegung des EuGH zu Art. 12 der Verordnung (EWG) Nr. 1612/68 berufen, wenn ihm die Rückkehr in die Heimat nicht zuzumuten wäre (Urteil des EuGH vom 15. März 1989 C-389/87 / C-390/87 Echternach und Moritz , Randnr. 23) und es darum ginge, eine vor dem Dahinfallen der das abgeleitete Anwesenheitsrecht begründenden Familiengemeinschaft begonnene Ausbildung (noch) abzuschliessen. Dem ist hier nicht so: Der Beschwerdeführer 2 hat bis zum 9. April 2007 in der mongolischen Grossfamilie in Ulaanbaatargelebt. Die Eheleute haben sich im Dezember 2008 getrennt. Seine Ausbildung begann er, nachdem er den Haushalt seiner (sorgeberechtigten) Mutter im April 2010 verlassen hatte und sich - so oder anders - nicht mehr als Stiefsohn eines EU-Bürgers auf sein (über die Mutter zweifach) abgeleitetes freizügigkeitsrechtliches Aufenthaltsrecht berufen konnte.</w:t>
      </w:r>
    </w:p>
    <w:p>
      <w:r>
        <w:rPr>
          <w:b/>
        </w:rPr>
        <w:t>E. 4.2.5</w:t>
      </w:r>
    </w:p>
    <w:p>
      <w:r>
        <w:t>Ein aus dem Anwesenheitsrecht des Kindes, welches diesem zum Zwecke des Abschlusses der Ausbildung eingeräumt wird, abgeleitetes Anwesenheitsrecht eines Elternteils setzt voraus, dass dieser das Sorgerecht tatsächlich wahrnimmt. Vorliegend fehlt es - wie dargelegt - bereits am Anwesenheitsrecht des Kindes; im Übrigen nimmt die Beschwerdeführerin 1 das Sorgerecht über ihren Sohn nicht mehr wahr. Wegen zahlreicher Spannungen hat dieser den elterlichen Haushalt Mitte April 2010 verlassen. Er lebt in einem Lehrlingsheim in I., wo er betreut wird; durch dessen Vermittlung hat er im August 2011 schliesslich eine Lehrstelle gefunden. Die Beschwerdeführerin 1 kann sich deshalb für ihren weiteren Verbleib nicht auf einen (allenfalls von ihrem Sohn) abgeleiteten Anspruch aus Art. 3 Abs. 6 des Anhangs I FZA berufen, da sie sich - entgegen der Rechtsprechung des EuGH zu Art. 12 der Verordnung (EWG) Nr. 1612/68 - nicht mehr um diesen kümmert, selbst wenn er über einen Aufenthaltsanspruch verfügen würde. Die EuGH-Rechtsprechung i.S. Zhu und Chen (C-200/02 vom 19. Oktober 2004) fände auf sie im Rahmen von Art. 24 Anhang I FZA keine Anwendung, da weder ihre Kinder noch sie selber hinreichende finanzielle Mittel besitzen, um für die Familie in der Schweiz aufkommen zu können. Auch aus dem freizügigkeitsrechtlichen Diskriminierungsverbot von Art. 2 FZA ergibt sich nichts anderes: Verfügt keines der Kinder über ein freizügigkeitsrechtliches Aufenthaltsrecht in der Schweiz, kann sich die Frage einer Ungleichbehandlung vom sorgeberechtigten Drittstaatsangehörigen im umgekehrten Familiennachzug (zu Schweizer Kindern) nicht stellen; im Übrigen bleibt diesbezüglich BGE 139 II 393 S. 402 regelmässig ebenfalls eine fortgesetzte und erhebliche Sozialhilfeabhängigkeit vorbehalten (Urteile 2C_234/2010 vom 11. Juli 2011 E. 2.4.3; 2C_54/2011 vom 16. Juni 2011 E. 2.2; 2C_327/2010 / 2C_328/2010 vom 19. Mai 2011 E. 5.2.5).</w:t>
      </w:r>
    </w:p>
    <w:p>
      <w:r>
        <w:rPr>
          <w:b/>
        </w:rPr>
        <w:t>E. 5.1</w:t>
      </w:r>
    </w:p>
    <w:p>
      <w:r>
        <w:t>Auch aus Art. 8 Ziff. 1 EMRK ergibt sich für die Beschwerdeführer kein Aufenthaltsanspruch. Keiner von ihnen verfügt nach dem Gesagten über ein gefestigtes freizügigkeits- oder nationalrechtliches Anwesenheitsrecht; sie haben das Land gemeinsam zu verlassen und können ihr Familienleben in der gemeinsamen Heimat pflegen (vgl. BGE 122 II 289 E. 3b S. 297). Ein konventionsrechtlicher Anwesenheitsanspruch setzt eine tatsächlich gelebte familiäre Beziehung voraus: Zwischen Mutter und Sohn, der inzwischen auch volljährig geworden ist, besteht keine solche mehr, auch ist kein Abhängigkeitsverhältnis ersichtlich. Die in der Schweiz geborene Beschwerdeführerin 3 ist erst sechs Jahre alt. Sie befindet sich noch in einem anpassungsfähigen Alter (vgl. BGE 122 II 289 E. 3c S. 298) und hat noch keine über die engeren Familienbande reichenden sozialen Kontakte geknüpft, die eigenständig im Rahmen des Schutzes des Privatlebens von Art. 8 EMRK bzw. Art. 13 BV ins Gewicht fallen würden. Sie teilt ausländerrechtlich das Schicksal ihrer sorgeberechtigten Mutter.</w:t>
      </w:r>
    </w:p>
    <w:p>
      <w:r>
        <w:rPr>
          <w:b/>
        </w:rPr>
        <w:t>E. 5.2.1</w:t>
      </w:r>
    </w:p>
    <w:p>
      <w:r>
        <w:t>Die Beschwerdeführerin 1 lebt erst seit rund sieben Jahren im Land. Sie ist im Alter von 27 Jahren in die Schweiz eingereist und mit den Verhältnissen in ihrer Heimat, wo sie aufgewachsen und sozialisiert worden ist, vertraut. Sie hat dort als Künstlerin, Schauspielerin und Synchronsprecherin gearbeitet und vor der Ausreise in die Schweiz über eine eigene Wohnung verfügt, die sie verkauft hat. In Ulaanbaatar halten sich weitere Angehörige (Mutter/Geschwister) auf, welche ihr beistehen und Halt bieten können. Zwar ist sie durch das Scheitern der Ehe und wegen ihrer unsicheren Zukunft zurzeit psychisch beeinträchtigt; wie die Vorinstanz für das Bundesgericht indessen verbindlich (vgl. Art. 105 Abs. 2 BGG ) festgestellt hat, ist ihre medizinische Behandlung auch in der Mongolei sichergestellt. Es bestehen dort neben 35 ambulanten Kliniken, 7 Tageskliniken, 21 stationäre Einrichtungen und ein Spital für psychische Krankheiten. Diverse Psychopharmaka und Antidepressiva sind ebenfalls erhältlich (vgl. das Urteil des BVGer D-4257/2008 vom 5. Oktober 2009 E. 6.3). BGE 139 II 393 S. 403</w:t>
      </w:r>
    </w:p>
    <w:p>
      <w:r>
        <w:rPr>
          <w:b/>
        </w:rPr>
        <w:t>E. 5.2.2</w:t>
      </w:r>
    </w:p>
    <w:p>
      <w:r>
        <w:t>Der Umstand, dass die Beschwerdeführerin mittelgradig depressiv ist und im Zusammenhang mit ihrer Rückkehr zurzeit Selbstmordgedanken hegt, begründet für sich allein keinen Anspruch auf einen weiteren Verbleib im Land. Die schweizerischen Behörden sind gehalten, im Rahmen der konkreten Rückkehrmassnahmen alles ihnen Zumutbare vorzukehren, um medizinisch bzw. betreuungsweise sicherzustellen, dass das Leben und die Gesundheit der Beschwerdeführerin und ihrer Kinder nicht beeinträchtigt werden; sie sind indessen nicht verpflichtet, im Hinblick auf die momentan kritische Situation in Abweichung von den gesetzlichen Vorgaben dem Ansinnen der Beschwerdeführerin 1 auf Erteilung einer Aufenthaltsbewilligung (und den damit verbundenen weiteren Fürsorgeleistungen) im Rahmen von Art. 8 EMRK zu entsprechen.</w:t>
      </w:r>
    </w:p>
    <w:p>
      <w:r>
        <w:rPr>
          <w:b/>
        </w:rPr>
        <w:t>E. 6</w:t>
      </w:r>
    </w:p>
    <w:p>
      <w:r>
        <w:t>Bei dieser Ausgangslage können sich die Beschwerdeführer auch nicht auf einen nachehelichen Härtefall im Sinne von Art. 50 Abs. 1 lit. b AuG berufen: Danach besteht der Bewilligungsanspruch nach einer gescheiterten Ehe bzw. Familiengemeinschaft fort, falls wichtige persönliche Gründe einen weiteren Aufenthalt der ausländischen Familienmitglieder in der Schweiz erforderlich machen (vgl. BGE 137 II 345 E. 3.2 S. 348 ff.). Entscheidend ist,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S. 350).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S. 350). Zwar mag der Beschwerdeführerin 1 aufgrund ihrer derzeitigen gesundheitlichen Probleme die Pflicht schwerfallen, das Land verlassen zu müssen. Der blosse Umstand, dass das Gesundheits- oder Sozialversicherungswesen in einem anderen Staat nicht mit jenem in der Schweiz vergleichbar ist und die hiesige medizinische Versorgung einem höheren Standard entspricht, hat jedoch nicht bereits die Unzumutbarkeit einer Rückkehr in die früheren Verhältnisse zur Folge (vgl. das Urteil 2C_833/2011 vom 6. Juni 2012 E. 3.3.2; BGE 128 II 200 E. 5.3). Es handelt sich hierbei um keinen wichtigen persönlichen Grund, der einen weiteren Aufenthalt in der Schweiz erforderlich machen würde. Auch wenn die Beschwerdeführerin BGE 139 II 393 S. 404 heute etwas Deutsch spricht und punktuell Reinigungsarbeiten nachgeht bzw. nachgegangen ist, liegen keine persönlichen Umstände vor, welche einen nachehelichen Härtefall begründen; dies auch dann nicht, wenn die Situation der Kinder mitberücksichtigt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